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4C" w:rsidRPr="0073074C" w:rsidRDefault="0073074C" w:rsidP="0073074C">
      <w:pPr>
        <w:spacing w:after="0" w:line="240" w:lineRule="auto"/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noProof/>
          <w:color w:val="333333"/>
          <w:sz w:val="24"/>
          <w:szCs w:val="24"/>
          <w:lang w:eastAsia="es-ES"/>
        </w:rPr>
        <w:drawing>
          <wp:inline distT="0" distB="0" distL="0" distR="0" wp14:anchorId="5966A1DF" wp14:editId="515CDA20">
            <wp:extent cx="4779010" cy="534670"/>
            <wp:effectExtent l="0" t="0" r="2540" b="0"/>
            <wp:docPr id="1" name="Imagen 1" descr="Inicio">
              <a:hlinkClick xmlns:a="http://schemas.openxmlformats.org/drawingml/2006/main" r:id="rId6" tooltip="&quot;Ir a página de ini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>
                      <a:hlinkClick r:id="rId6" tooltip="&quot;Ir a página de ini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4C" w:rsidRPr="0073074C" w:rsidRDefault="0073074C" w:rsidP="007307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73074C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73074C" w:rsidRPr="0073074C" w:rsidRDefault="0073074C" w:rsidP="0073074C">
      <w:pPr>
        <w:spacing w:after="0" w:line="240" w:lineRule="auto"/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35pt" o:ole="">
            <v:imagedata r:id="rId8" o:title=""/>
          </v:shape>
          <w:control r:id="rId9" w:name="DefaultOcxName1" w:shapeid="_x0000_i1032"/>
        </w:object>
      </w:r>
      <w:r w:rsidRPr="0073074C"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  <w:object w:dxaOrig="1440" w:dyaOrig="1440">
          <v:shape id="_x0000_i1031" type="#_x0000_t75" style="width:1in;height:18.35pt" o:ole="">
            <v:imagedata r:id="rId10" o:title=""/>
          </v:shape>
          <w:control r:id="rId11" w:name="DefaultOcxName2" w:shapeid="_x0000_i1031"/>
        </w:object>
      </w:r>
    </w:p>
    <w:bookmarkStart w:id="0" w:name="_GoBack"/>
    <w:bookmarkEnd w:id="0"/>
    <w:p w:rsidR="0073074C" w:rsidRPr="0073074C" w:rsidRDefault="0073074C" w:rsidP="0073074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  <w:fldChar w:fldCharType="begin"/>
      </w:r>
      <w:r w:rsidRPr="0073074C"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  <w:instrText xml:space="preserve"> HYPERLINK "https://www.cnmc.es/" </w:instrText>
      </w:r>
      <w:r w:rsidRPr="0073074C"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  <w:fldChar w:fldCharType="separate"/>
      </w:r>
      <w:r w:rsidRPr="0073074C">
        <w:rPr>
          <w:rFonts w:ascii="Source Sans Pro" w:eastAsia="Times New Roman" w:hAnsi="Source Sans Pro" w:cs="Helvetica"/>
          <w:color w:val="654D28"/>
          <w:sz w:val="24"/>
          <w:szCs w:val="24"/>
          <w:lang w:eastAsia="es-ES"/>
        </w:rPr>
        <w:t>Inicio</w:t>
      </w:r>
      <w:r w:rsidRPr="0073074C"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  <w:fldChar w:fldCharType="end"/>
      </w:r>
      <w:r w:rsidRPr="0073074C"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  <w:t xml:space="preserve"> </w:t>
      </w:r>
    </w:p>
    <w:p w:rsidR="0073074C" w:rsidRPr="0073074C" w:rsidRDefault="0073074C" w:rsidP="0073074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</w:pPr>
      <w:hyperlink r:id="rId12" w:history="1">
        <w:r w:rsidRPr="0073074C">
          <w:rPr>
            <w:rFonts w:ascii="Source Sans Pro" w:eastAsia="Times New Roman" w:hAnsi="Source Sans Pro" w:cs="Helvetica"/>
            <w:color w:val="654D28"/>
            <w:sz w:val="24"/>
            <w:szCs w:val="24"/>
            <w:lang w:eastAsia="es-ES"/>
          </w:rPr>
          <w:t>Buscador de expedientes</w:t>
        </w:r>
      </w:hyperlink>
      <w:r w:rsidRPr="0073074C"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  <w:t xml:space="preserve"> </w:t>
      </w:r>
    </w:p>
    <w:p w:rsidR="0073074C" w:rsidRPr="0073074C" w:rsidRDefault="0073074C" w:rsidP="0073074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color w:val="202020"/>
          <w:sz w:val="24"/>
          <w:szCs w:val="24"/>
          <w:lang w:eastAsia="es-ES"/>
        </w:rPr>
        <w:t xml:space="preserve">MÉMORA / FUNERARIA MIRANDA </w:t>
      </w:r>
    </w:p>
    <w:p w:rsidR="0073074C" w:rsidRPr="0073074C" w:rsidRDefault="0073074C" w:rsidP="0073074C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es-ES"/>
        </w:rPr>
      </w:pPr>
      <w:r w:rsidRPr="0073074C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es-ES"/>
        </w:rPr>
        <w:t>C/0908/17: MÉMORA / FUNERARIA MIRANDA</w:t>
      </w:r>
    </w:p>
    <w:p w:rsidR="0073074C" w:rsidRPr="0073074C" w:rsidRDefault="0073074C" w:rsidP="0073074C">
      <w:pPr>
        <w:spacing w:after="0" w:line="390" w:lineRule="atLeast"/>
        <w:outlineLvl w:val="1"/>
        <w:rPr>
          <w:rFonts w:ascii="inherit" w:eastAsia="Times New Roman" w:hAnsi="inherit" w:cs="Helvetica"/>
          <w:b/>
          <w:bCs/>
          <w:color w:val="3F4F54"/>
          <w:sz w:val="27"/>
          <w:szCs w:val="27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3F4F54"/>
          <w:sz w:val="27"/>
          <w:szCs w:val="27"/>
          <w:lang w:eastAsia="es-ES"/>
        </w:rPr>
        <w:t>Adquisición control exclusivo</w:t>
      </w:r>
    </w:p>
    <w:p w:rsidR="0073074C" w:rsidRPr="0073074C" w:rsidRDefault="0073074C" w:rsidP="0073074C">
      <w:pPr>
        <w:spacing w:after="0" w:line="240" w:lineRule="auto"/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</w:pPr>
      <w:r w:rsidRPr="0073074C"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  <w:t>Adquisición de control exclusivo por parte de MÉMORA sobre FUNERARIA MIRANDA</w:t>
      </w:r>
    </w:p>
    <w:p w:rsidR="0073074C" w:rsidRPr="0073074C" w:rsidRDefault="0073074C" w:rsidP="0073074C">
      <w:pPr>
        <w:spacing w:before="270" w:after="210" w:line="390" w:lineRule="atLeast"/>
        <w:outlineLvl w:val="1"/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  <w:t>Metadatos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5387"/>
      </w:tblGrid>
      <w:tr w:rsidR="0073074C" w:rsidRPr="0073074C" w:rsidTr="007307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74C" w:rsidRPr="0073074C" w:rsidRDefault="0073074C" w:rsidP="0073074C">
            <w:pPr>
              <w:spacing w:after="300" w:line="240" w:lineRule="auto"/>
              <w:rPr>
                <w:rFonts w:ascii="Source Sans Pro" w:eastAsia="Times New Roman" w:hAnsi="Source Sans Pro" w:cs="Helvetica"/>
                <w:color w:val="777777"/>
                <w:sz w:val="24"/>
                <w:szCs w:val="24"/>
                <w:lang w:eastAsia="es-ES"/>
              </w:rPr>
            </w:pPr>
            <w:r w:rsidRPr="0073074C">
              <w:rPr>
                <w:rFonts w:ascii="Source Sans Pro" w:eastAsia="Times New Roman" w:hAnsi="Source Sans Pro" w:cs="Helvetica"/>
                <w:color w:val="777777"/>
                <w:sz w:val="24"/>
                <w:szCs w:val="24"/>
                <w:lang w:eastAsia="es-ES"/>
              </w:rPr>
              <w:t>Metadatos</w:t>
            </w:r>
          </w:p>
        </w:tc>
      </w:tr>
      <w:tr w:rsidR="0073074C" w:rsidRPr="0073074C" w:rsidTr="007307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74C" w:rsidRPr="0073074C" w:rsidRDefault="0073074C" w:rsidP="0073074C">
            <w:pPr>
              <w:spacing w:after="300" w:line="240" w:lineRule="auto"/>
              <w:rPr>
                <w:rFonts w:ascii="Source Sans Pro" w:eastAsia="Times New Roman" w:hAnsi="Source Sans Pro" w:cs="Helvetica"/>
                <w:color w:val="1F5765"/>
                <w:sz w:val="24"/>
                <w:szCs w:val="24"/>
                <w:lang w:eastAsia="es-ES"/>
              </w:rPr>
            </w:pPr>
            <w:r w:rsidRPr="0073074C">
              <w:rPr>
                <w:rFonts w:ascii="Source Sans Pro" w:eastAsia="Times New Roman" w:hAnsi="Source Sans Pro" w:cs="Helvetica"/>
                <w:color w:val="1F5765"/>
                <w:sz w:val="24"/>
                <w:szCs w:val="24"/>
                <w:lang w:eastAsia="es-ES"/>
              </w:rPr>
              <w:t>Umbral notificación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74C" w:rsidRPr="0073074C" w:rsidRDefault="0073074C" w:rsidP="0073074C">
            <w:pPr>
              <w:spacing w:after="300" w:line="240" w:lineRule="auto"/>
              <w:rPr>
                <w:rFonts w:ascii="Source Sans Pro" w:eastAsia="Times New Roman" w:hAnsi="Source Sans Pro" w:cs="Helvetica"/>
                <w:color w:val="1F5765"/>
                <w:sz w:val="24"/>
                <w:szCs w:val="24"/>
                <w:lang w:eastAsia="es-ES"/>
              </w:rPr>
            </w:pPr>
            <w:r w:rsidRPr="0073074C">
              <w:rPr>
                <w:rFonts w:ascii="Source Sans Pro" w:eastAsia="Times New Roman" w:hAnsi="Source Sans Pro" w:cs="Helvetica"/>
                <w:color w:val="1F5765"/>
                <w:sz w:val="24"/>
                <w:szCs w:val="24"/>
                <w:lang w:eastAsia="es-ES"/>
              </w:rPr>
              <w:t>Art. 8.1a LDC (Cuota de mercado)</w:t>
            </w:r>
          </w:p>
        </w:tc>
      </w:tr>
    </w:tbl>
    <w:p w:rsidR="0073074C" w:rsidRPr="0073074C" w:rsidRDefault="0073074C" w:rsidP="0073074C">
      <w:pPr>
        <w:spacing w:before="270" w:after="210" w:line="390" w:lineRule="atLeast"/>
        <w:outlineLvl w:val="1"/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  <w:t>Historial</w:t>
      </w:r>
    </w:p>
    <w:p w:rsidR="0073074C" w:rsidRPr="0073074C" w:rsidRDefault="0073074C" w:rsidP="0073074C">
      <w:pPr>
        <w:spacing w:before="270" w:after="210" w:line="390" w:lineRule="atLeast"/>
        <w:outlineLvl w:val="2"/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  <w:t>SUCESOS</w:t>
      </w:r>
    </w:p>
    <w:p w:rsidR="0073074C" w:rsidRPr="0073074C" w:rsidRDefault="0073074C" w:rsidP="0073074C">
      <w:pPr>
        <w:shd w:val="clear" w:color="auto" w:fill="FCFCFA"/>
        <w:spacing w:after="0" w:line="240" w:lineRule="auto"/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  <w:t>16 Nov 2017</w:t>
      </w:r>
    </w:p>
    <w:p w:rsidR="0073074C" w:rsidRPr="0073074C" w:rsidRDefault="0073074C" w:rsidP="0073074C">
      <w:pPr>
        <w:shd w:val="clear" w:color="auto" w:fill="FCFCFA"/>
        <w:spacing w:line="240" w:lineRule="auto"/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</w:pPr>
      <w:r w:rsidRPr="0073074C">
        <w:rPr>
          <w:rFonts w:ascii="Source Sans Pro" w:eastAsia="Times New Roman" w:hAnsi="Source Sans Pro" w:cs="Helvetica"/>
          <w:b/>
          <w:bCs/>
          <w:color w:val="3F4F54"/>
          <w:sz w:val="27"/>
          <w:szCs w:val="27"/>
          <w:lang w:eastAsia="es-ES"/>
        </w:rPr>
        <w:t>Entrada de la notificación</w:t>
      </w:r>
      <w:r w:rsidRPr="0073074C"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  <w:t xml:space="preserve"> </w:t>
      </w:r>
    </w:p>
    <w:p w:rsidR="0073074C" w:rsidRPr="0073074C" w:rsidRDefault="0073074C" w:rsidP="0073074C">
      <w:pPr>
        <w:spacing w:before="270" w:after="210" w:line="390" w:lineRule="atLeast"/>
        <w:outlineLvl w:val="2"/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  <w:t>SUCESOS</w:t>
      </w:r>
    </w:p>
    <w:p w:rsidR="0073074C" w:rsidRPr="0073074C" w:rsidRDefault="0073074C" w:rsidP="0073074C">
      <w:pPr>
        <w:shd w:val="clear" w:color="auto" w:fill="FCFCFA"/>
        <w:spacing w:after="0" w:line="240" w:lineRule="auto"/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  <w:t>14 Dic 2017</w:t>
      </w:r>
    </w:p>
    <w:p w:rsidR="0073074C" w:rsidRPr="0073074C" w:rsidRDefault="0073074C" w:rsidP="0073074C">
      <w:pPr>
        <w:shd w:val="clear" w:color="auto" w:fill="FCFCFA"/>
        <w:spacing w:after="150" w:line="240" w:lineRule="auto"/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</w:pPr>
      <w:r w:rsidRPr="0073074C">
        <w:rPr>
          <w:rFonts w:ascii="Source Sans Pro" w:eastAsia="Times New Roman" w:hAnsi="Source Sans Pro" w:cs="Helvetica"/>
          <w:b/>
          <w:bCs/>
          <w:color w:val="3F4F54"/>
          <w:sz w:val="27"/>
          <w:szCs w:val="27"/>
          <w:lang w:eastAsia="es-ES"/>
        </w:rPr>
        <w:t>Resolución del Consejo - Autorización en 1ª fase</w:t>
      </w:r>
      <w:r w:rsidRPr="0073074C"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  <w:t xml:space="preserve"> </w:t>
      </w:r>
    </w:p>
    <w:p w:rsidR="0073074C" w:rsidRPr="0073074C" w:rsidRDefault="0073074C" w:rsidP="0073074C">
      <w:pPr>
        <w:shd w:val="clear" w:color="auto" w:fill="FCFCFA"/>
        <w:spacing w:line="240" w:lineRule="auto"/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i/>
          <w:iCs/>
          <w:color w:val="333333"/>
          <w:sz w:val="24"/>
          <w:szCs w:val="24"/>
          <w:lang w:eastAsia="es-ES"/>
        </w:rPr>
        <w:t xml:space="preserve">Autorización en 1ª fase </w:t>
      </w:r>
    </w:p>
    <w:p w:rsidR="0073074C" w:rsidRPr="0073074C" w:rsidRDefault="0073074C" w:rsidP="0073074C">
      <w:pPr>
        <w:spacing w:before="270" w:after="210" w:line="390" w:lineRule="atLeast"/>
        <w:outlineLvl w:val="2"/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  <w:t>NÚMERO</w:t>
      </w:r>
    </w:p>
    <w:p w:rsidR="0073074C" w:rsidRPr="0073074C" w:rsidRDefault="0073074C" w:rsidP="0073074C">
      <w:pPr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3F4F54"/>
          <w:sz w:val="27"/>
          <w:szCs w:val="27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3F4F54"/>
          <w:sz w:val="27"/>
          <w:szCs w:val="27"/>
          <w:lang w:eastAsia="es-ES"/>
        </w:rPr>
        <w:t>C/0908/17</w:t>
      </w:r>
    </w:p>
    <w:p w:rsidR="0073074C" w:rsidRPr="0073074C" w:rsidRDefault="0073074C" w:rsidP="0073074C">
      <w:pPr>
        <w:spacing w:before="270" w:after="210" w:line="390" w:lineRule="atLeast"/>
        <w:outlineLvl w:val="2"/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vanish/>
          <w:color w:val="202020"/>
          <w:sz w:val="30"/>
          <w:szCs w:val="30"/>
          <w:lang w:eastAsia="es-ES"/>
        </w:rPr>
        <w:t>Estado Web</w:t>
      </w:r>
    </w:p>
    <w:p w:rsidR="0073074C" w:rsidRPr="0073074C" w:rsidRDefault="0073074C" w:rsidP="0073074C">
      <w:pPr>
        <w:spacing w:after="150" w:line="330" w:lineRule="atLeast"/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</w:pPr>
      <w:r w:rsidRPr="0073074C"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  <w:t>Finalizado. Autorización en 1ª fase.</w:t>
      </w:r>
    </w:p>
    <w:p w:rsidR="0073074C" w:rsidRPr="0073074C" w:rsidRDefault="0073074C" w:rsidP="0073074C">
      <w:pPr>
        <w:spacing w:before="270" w:after="210" w:line="390" w:lineRule="atLeast"/>
        <w:outlineLvl w:val="2"/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  <w:t>ÁMBITO</w:t>
      </w:r>
    </w:p>
    <w:p w:rsidR="0073074C" w:rsidRPr="0073074C" w:rsidRDefault="0073074C" w:rsidP="0073074C">
      <w:pPr>
        <w:numPr>
          <w:ilvl w:val="0"/>
          <w:numId w:val="3"/>
        </w:numPr>
        <w:spacing w:after="0" w:line="240" w:lineRule="auto"/>
        <w:ind w:left="495"/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</w:pPr>
      <w:r w:rsidRPr="0073074C"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  <w:t>Competencia</w:t>
      </w:r>
    </w:p>
    <w:p w:rsidR="0073074C" w:rsidRPr="0073074C" w:rsidRDefault="0073074C" w:rsidP="0073074C">
      <w:pPr>
        <w:spacing w:before="270" w:after="210" w:line="390" w:lineRule="atLeast"/>
        <w:outlineLvl w:val="2"/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  <w:t>SUJETOS</w:t>
      </w:r>
    </w:p>
    <w:p w:rsidR="0073074C" w:rsidRPr="0073074C" w:rsidRDefault="0073074C" w:rsidP="0073074C">
      <w:pPr>
        <w:numPr>
          <w:ilvl w:val="0"/>
          <w:numId w:val="4"/>
        </w:numPr>
        <w:spacing w:before="300"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es-ES"/>
        </w:rPr>
        <w:t>Adquirente</w:t>
      </w:r>
    </w:p>
    <w:p w:rsidR="0073074C" w:rsidRPr="0073074C" w:rsidRDefault="0073074C" w:rsidP="0073074C">
      <w:pPr>
        <w:spacing w:after="150" w:line="240" w:lineRule="auto"/>
        <w:ind w:left="495"/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</w:pPr>
      <w:r w:rsidRPr="0073074C"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  <w:t>MEMORA SERVICIOS FUNERARIOS, S.L.U.</w:t>
      </w:r>
    </w:p>
    <w:p w:rsidR="0073074C" w:rsidRPr="0073074C" w:rsidRDefault="0073074C" w:rsidP="0073074C">
      <w:pPr>
        <w:numPr>
          <w:ilvl w:val="0"/>
          <w:numId w:val="4"/>
        </w:numPr>
        <w:spacing w:before="300"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es-ES"/>
        </w:rPr>
        <w:lastRenderedPageBreak/>
        <w:t>Adquirida</w:t>
      </w:r>
    </w:p>
    <w:p w:rsidR="0073074C" w:rsidRPr="0073074C" w:rsidRDefault="0073074C" w:rsidP="0073074C">
      <w:pPr>
        <w:spacing w:after="150" w:line="240" w:lineRule="auto"/>
        <w:ind w:left="495"/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</w:pPr>
      <w:r w:rsidRPr="0073074C">
        <w:rPr>
          <w:rFonts w:ascii="Source Sans Pro" w:eastAsia="Times New Roman" w:hAnsi="Source Sans Pro" w:cs="Helvetica"/>
          <w:color w:val="3F4F54"/>
          <w:sz w:val="27"/>
          <w:szCs w:val="27"/>
          <w:lang w:eastAsia="es-ES"/>
        </w:rPr>
        <w:t>SERVICIOS FUNERARIOS DE MIRANDA, S.L.</w:t>
      </w:r>
    </w:p>
    <w:p w:rsidR="0073074C" w:rsidRPr="0073074C" w:rsidRDefault="0073074C" w:rsidP="0073074C">
      <w:pPr>
        <w:spacing w:before="270" w:after="210" w:line="390" w:lineRule="atLeast"/>
        <w:outlineLvl w:val="2"/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</w:pPr>
      <w:r w:rsidRPr="0073074C">
        <w:rPr>
          <w:rFonts w:ascii="inherit" w:eastAsia="Times New Roman" w:hAnsi="inherit" w:cs="Helvetica"/>
          <w:b/>
          <w:bCs/>
          <w:color w:val="202020"/>
          <w:sz w:val="30"/>
          <w:szCs w:val="30"/>
          <w:lang w:eastAsia="es-ES"/>
        </w:rPr>
        <w:t>SECTORES</w:t>
      </w:r>
    </w:p>
    <w:p w:rsidR="0073074C" w:rsidRPr="0073074C" w:rsidRDefault="0073074C" w:rsidP="0073074C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</w:pPr>
      <w:r w:rsidRPr="0073074C">
        <w:rPr>
          <w:rFonts w:ascii="Source Sans Pro" w:eastAsia="Times New Roman" w:hAnsi="Source Sans Pro" w:cs="Helvetica"/>
          <w:color w:val="333333"/>
          <w:sz w:val="24"/>
          <w:szCs w:val="24"/>
          <w:lang w:eastAsia="es-ES"/>
        </w:rPr>
        <w:t>S.9603: pompas fúnebres y actividades relacionadas (REGLAMENTO CE No 1893/2006 NACE rev2)</w:t>
      </w:r>
    </w:p>
    <w:p w:rsidR="00E137B1" w:rsidRDefault="00E137B1"/>
    <w:sectPr w:rsidR="00E13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990"/>
    <w:multiLevelType w:val="multilevel"/>
    <w:tmpl w:val="7E7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E05D5"/>
    <w:multiLevelType w:val="multilevel"/>
    <w:tmpl w:val="DFB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32E39"/>
    <w:multiLevelType w:val="multilevel"/>
    <w:tmpl w:val="1208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60FC5"/>
    <w:multiLevelType w:val="multilevel"/>
    <w:tmpl w:val="3F2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47EE4"/>
    <w:multiLevelType w:val="multilevel"/>
    <w:tmpl w:val="696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4C"/>
    <w:rsid w:val="0073074C"/>
    <w:rsid w:val="00E1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8477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8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67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2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3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15" w:color="CCCCCC"/>
                                                <w:left w:val="single" w:sz="6" w:space="19" w:color="CCCCCC"/>
                                                <w:bottom w:val="single" w:sz="6" w:space="15" w:color="CCCCCC"/>
                                                <w:right w:val="single" w:sz="6" w:space="19" w:color="CCCCCC"/>
                                              </w:divBdr>
                                              <w:divsChild>
                                                <w:div w:id="1059791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5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9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7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15" w:color="CCCCCC"/>
                                                <w:left w:val="single" w:sz="6" w:space="19" w:color="CCCCCC"/>
                                                <w:bottom w:val="single" w:sz="6" w:space="15" w:color="CCCCCC"/>
                                                <w:right w:val="single" w:sz="6" w:space="19" w:color="CCCCCC"/>
                                              </w:divBdr>
                                              <w:divsChild>
                                                <w:div w:id="7961396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1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7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2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8830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7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2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cnmc.es/expedie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mc.es/" TargetMode="Externa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Panasef</dc:creator>
  <cp:lastModifiedBy>Panasef</cp:lastModifiedBy>
  <cp:revision>1</cp:revision>
  <dcterms:created xsi:type="dcterms:W3CDTF">2017-12-19T15:19:00Z</dcterms:created>
  <dcterms:modified xsi:type="dcterms:W3CDTF">2017-12-19T15:21:00Z</dcterms:modified>
</cp:coreProperties>
</file>